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BA6A" w14:textId="77777777" w:rsidR="00D3463C" w:rsidRDefault="00D3463C" w:rsidP="00D3463C">
      <w:pPr>
        <w:jc w:val="center"/>
        <w:rPr>
          <w:rFonts w:cstheme="minorHAnsi"/>
          <w:sz w:val="28"/>
          <w:szCs w:val="28"/>
          <w:lang w:val="en-US"/>
        </w:rPr>
      </w:pPr>
      <w:bookmarkStart w:id="0" w:name="_GoBack"/>
      <w:bookmarkEnd w:id="0"/>
      <w:r>
        <w:rPr>
          <w:rFonts w:cstheme="minorHAnsi"/>
          <w:sz w:val="28"/>
          <w:szCs w:val="28"/>
          <w:lang w:val="en-US"/>
        </w:rPr>
        <w:t xml:space="preserve">Hereditary cerebellar ataxias: descriptive study of a hospital cohort </w:t>
      </w:r>
    </w:p>
    <w:p w14:paraId="1879BE36" w14:textId="3EB9931E" w:rsidR="00EA452C" w:rsidRPr="00D3463C" w:rsidRDefault="00EA452C" w:rsidP="00D3463C">
      <w:pPr>
        <w:jc w:val="center"/>
        <w:rPr>
          <w:rFonts w:cstheme="minorHAnsi"/>
          <w:sz w:val="28"/>
          <w:szCs w:val="28"/>
          <w:lang w:val="en-US"/>
        </w:rPr>
      </w:pPr>
      <w:r w:rsidRPr="00D3463C">
        <w:rPr>
          <w:rFonts w:cstheme="minorHAnsi"/>
          <w:sz w:val="28"/>
          <w:szCs w:val="28"/>
          <w:lang w:val="en-US"/>
        </w:rPr>
        <w:t xml:space="preserve">Ben </w:t>
      </w:r>
      <w:proofErr w:type="spellStart"/>
      <w:r w:rsidRPr="00D3463C">
        <w:rPr>
          <w:rFonts w:cstheme="minorHAnsi"/>
          <w:sz w:val="28"/>
          <w:szCs w:val="28"/>
          <w:lang w:val="en-US"/>
        </w:rPr>
        <w:t>Nsir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3463C">
        <w:rPr>
          <w:rFonts w:cstheme="minorHAnsi"/>
          <w:sz w:val="28"/>
          <w:szCs w:val="28"/>
          <w:lang w:val="en-US"/>
        </w:rPr>
        <w:t>Sihem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D3463C">
        <w:rPr>
          <w:rFonts w:cstheme="minorHAnsi"/>
          <w:sz w:val="28"/>
          <w:szCs w:val="28"/>
          <w:lang w:val="en-US"/>
        </w:rPr>
        <w:t>Bouchaala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3463C">
        <w:rPr>
          <w:rFonts w:cstheme="minorHAnsi"/>
          <w:sz w:val="28"/>
          <w:szCs w:val="28"/>
          <w:lang w:val="en-US"/>
        </w:rPr>
        <w:t>Wafa</w:t>
      </w:r>
      <w:proofErr w:type="spellEnd"/>
      <w:r w:rsidR="001E195B" w:rsidRPr="00D3463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D3463C">
        <w:rPr>
          <w:rFonts w:cstheme="minorHAnsi"/>
          <w:sz w:val="28"/>
          <w:szCs w:val="28"/>
          <w:lang w:val="en-US"/>
        </w:rPr>
        <w:t>Jallouli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3463C">
        <w:rPr>
          <w:rFonts w:cstheme="minorHAnsi"/>
          <w:sz w:val="28"/>
          <w:szCs w:val="28"/>
          <w:lang w:val="en-US"/>
        </w:rPr>
        <w:t>Olfa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D3463C">
        <w:rPr>
          <w:rFonts w:cstheme="minorHAnsi"/>
          <w:sz w:val="28"/>
          <w:szCs w:val="28"/>
          <w:lang w:val="en-US"/>
        </w:rPr>
        <w:t>Mallouli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 Salma, </w:t>
      </w:r>
      <w:proofErr w:type="spellStart"/>
      <w:r w:rsidRPr="00D3463C">
        <w:rPr>
          <w:rFonts w:cstheme="minorHAnsi"/>
          <w:sz w:val="28"/>
          <w:szCs w:val="28"/>
          <w:lang w:val="en-US"/>
        </w:rPr>
        <w:t>Kamoun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3463C">
        <w:rPr>
          <w:rFonts w:cstheme="minorHAnsi"/>
          <w:sz w:val="28"/>
          <w:szCs w:val="28"/>
          <w:lang w:val="en-US"/>
        </w:rPr>
        <w:t>Fatma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D3463C">
        <w:rPr>
          <w:rFonts w:cstheme="minorHAnsi"/>
          <w:sz w:val="28"/>
          <w:szCs w:val="28"/>
          <w:lang w:val="en-US"/>
        </w:rPr>
        <w:t>Triki</w:t>
      </w:r>
      <w:proofErr w:type="spellEnd"/>
      <w:r w:rsidRPr="00D346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D3463C">
        <w:rPr>
          <w:rFonts w:cstheme="minorHAnsi"/>
          <w:sz w:val="28"/>
          <w:szCs w:val="28"/>
          <w:lang w:val="en-US"/>
        </w:rPr>
        <w:t>Chahnez</w:t>
      </w:r>
      <w:proofErr w:type="spellEnd"/>
    </w:p>
    <w:p w14:paraId="1182D8E3" w14:textId="67CB0226" w:rsidR="00EA452C" w:rsidRPr="00D3463C" w:rsidRDefault="001E195B" w:rsidP="00D3463C">
      <w:pPr>
        <w:jc w:val="center"/>
        <w:rPr>
          <w:rFonts w:cstheme="minorHAnsi"/>
          <w:sz w:val="28"/>
          <w:szCs w:val="28"/>
          <w:lang w:val="en-US"/>
        </w:rPr>
      </w:pPr>
      <w:r w:rsidRPr="00D3463C">
        <w:rPr>
          <w:rFonts w:cstheme="minorHAnsi"/>
          <w:sz w:val="28"/>
          <w:szCs w:val="28"/>
          <w:lang w:val="en-US"/>
        </w:rPr>
        <w:t>Department</w:t>
      </w:r>
      <w:r w:rsidR="00EA452C" w:rsidRPr="00D3463C">
        <w:rPr>
          <w:rFonts w:cstheme="minorHAnsi"/>
          <w:sz w:val="28"/>
          <w:szCs w:val="28"/>
          <w:lang w:val="en-US"/>
        </w:rPr>
        <w:t xml:space="preserve"> of pediatric neurology, </w:t>
      </w:r>
      <w:proofErr w:type="spellStart"/>
      <w:r w:rsidR="00EA452C" w:rsidRPr="00D3463C">
        <w:rPr>
          <w:rFonts w:cstheme="minorHAnsi"/>
          <w:sz w:val="28"/>
          <w:szCs w:val="28"/>
          <w:lang w:val="en-US"/>
        </w:rPr>
        <w:t>Hedi</w:t>
      </w:r>
      <w:proofErr w:type="spellEnd"/>
      <w:r w:rsidR="00EA452C" w:rsidRPr="00D3463C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EA452C" w:rsidRPr="00D3463C">
        <w:rPr>
          <w:rFonts w:cstheme="minorHAnsi"/>
          <w:sz w:val="28"/>
          <w:szCs w:val="28"/>
          <w:lang w:val="en-US"/>
        </w:rPr>
        <w:t>Chaker</w:t>
      </w:r>
      <w:proofErr w:type="spellEnd"/>
      <w:r w:rsidR="00EA452C" w:rsidRPr="00D3463C">
        <w:rPr>
          <w:rFonts w:cstheme="minorHAnsi"/>
          <w:sz w:val="28"/>
          <w:szCs w:val="28"/>
          <w:lang w:val="en-US"/>
        </w:rPr>
        <w:t xml:space="preserve"> hospital – Sfax Tunisia</w:t>
      </w:r>
    </w:p>
    <w:p w14:paraId="63C749F0" w14:textId="77777777" w:rsidR="00EA452C" w:rsidRPr="00D3463C" w:rsidRDefault="00EA452C" w:rsidP="00D3463C">
      <w:pPr>
        <w:jc w:val="center"/>
        <w:rPr>
          <w:rFonts w:cstheme="minorHAnsi"/>
          <w:sz w:val="28"/>
          <w:szCs w:val="28"/>
          <w:lang w:val="en-US"/>
        </w:rPr>
      </w:pPr>
      <w:r w:rsidRPr="00D3463C">
        <w:rPr>
          <w:rFonts w:cstheme="minorHAnsi"/>
          <w:sz w:val="28"/>
          <w:szCs w:val="28"/>
          <w:lang w:val="en-US"/>
        </w:rPr>
        <w:t>LR19ES15 Sfax University Tunisia</w:t>
      </w:r>
    </w:p>
    <w:p w14:paraId="6F6C7558" w14:textId="77777777" w:rsidR="0033094A" w:rsidRDefault="0033094A" w:rsidP="00EA452C">
      <w:pPr>
        <w:jc w:val="center"/>
        <w:rPr>
          <w:rFonts w:cstheme="minorHAnsi"/>
          <w:sz w:val="24"/>
          <w:szCs w:val="24"/>
          <w:lang w:val="en-US"/>
        </w:rPr>
      </w:pPr>
    </w:p>
    <w:p w14:paraId="2EDEA628" w14:textId="77777777" w:rsidR="0033094A" w:rsidRPr="002E1B6F" w:rsidRDefault="002A7CE0" w:rsidP="002A7CE0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E1B6F">
        <w:rPr>
          <w:rFonts w:cstheme="minorHAnsi"/>
          <w:b/>
          <w:bCs/>
          <w:sz w:val="24"/>
          <w:szCs w:val="24"/>
          <w:lang w:val="en-US"/>
        </w:rPr>
        <w:t>OBJECTIFS</w:t>
      </w:r>
    </w:p>
    <w:p w14:paraId="2E9929AB" w14:textId="2CA358A2" w:rsidR="00786477" w:rsidRPr="002E1B6F" w:rsidRDefault="0033094A" w:rsidP="003B63A5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E1B6F">
        <w:rPr>
          <w:rFonts w:cstheme="minorHAnsi"/>
          <w:sz w:val="24"/>
          <w:szCs w:val="24"/>
          <w:lang w:val="en-US"/>
        </w:rPr>
        <w:t xml:space="preserve">The objective is to describe the </w:t>
      </w:r>
      <w:r w:rsidR="004E250A" w:rsidRPr="002E1B6F">
        <w:rPr>
          <w:rFonts w:cstheme="minorHAnsi"/>
          <w:sz w:val="24"/>
          <w:szCs w:val="24"/>
          <w:lang w:val="en-US"/>
        </w:rPr>
        <w:t xml:space="preserve">epidemiological, </w:t>
      </w:r>
      <w:r w:rsidRPr="002E1B6F">
        <w:rPr>
          <w:rFonts w:cstheme="minorHAnsi"/>
          <w:sz w:val="24"/>
          <w:szCs w:val="24"/>
          <w:lang w:val="en-US"/>
        </w:rPr>
        <w:t xml:space="preserve">clinical </w:t>
      </w:r>
      <w:r w:rsidR="004E250A" w:rsidRPr="002E1B6F">
        <w:rPr>
          <w:rFonts w:cstheme="minorHAnsi"/>
          <w:sz w:val="24"/>
          <w:szCs w:val="24"/>
          <w:lang w:val="en-US"/>
        </w:rPr>
        <w:t xml:space="preserve">and etiological </w:t>
      </w:r>
      <w:r w:rsidR="003B63A5" w:rsidRPr="002E1B6F">
        <w:rPr>
          <w:rFonts w:cstheme="minorHAnsi"/>
          <w:sz w:val="24"/>
          <w:szCs w:val="24"/>
          <w:lang w:val="en-US"/>
        </w:rPr>
        <w:t>characteristics</w:t>
      </w:r>
      <w:r w:rsidRPr="002E1B6F">
        <w:rPr>
          <w:rFonts w:cstheme="minorHAnsi"/>
          <w:sz w:val="24"/>
          <w:szCs w:val="24"/>
          <w:lang w:val="en-US"/>
        </w:rPr>
        <w:t xml:space="preserve"> of hereditary cerebellar ataxias in children followed in </w:t>
      </w:r>
      <w:r w:rsidR="004E250A" w:rsidRPr="002E1B6F">
        <w:rPr>
          <w:rFonts w:cstheme="minorHAnsi"/>
          <w:sz w:val="24"/>
          <w:szCs w:val="24"/>
          <w:lang w:val="en-US"/>
        </w:rPr>
        <w:t>our Child neurology department</w:t>
      </w:r>
      <w:r w:rsidRPr="002E1B6F">
        <w:rPr>
          <w:rFonts w:cstheme="minorHAnsi"/>
          <w:sz w:val="24"/>
          <w:szCs w:val="24"/>
          <w:lang w:val="en-US"/>
        </w:rPr>
        <w:t>.</w:t>
      </w:r>
    </w:p>
    <w:p w14:paraId="44E0567E" w14:textId="789E5F27" w:rsidR="00A76917" w:rsidRPr="002E1B6F" w:rsidRDefault="004E250A" w:rsidP="002A7CE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E1B6F">
        <w:rPr>
          <w:rFonts w:cstheme="minorHAnsi"/>
          <w:b/>
          <w:bCs/>
          <w:sz w:val="24"/>
          <w:szCs w:val="24"/>
          <w:lang w:val="en-US"/>
        </w:rPr>
        <w:t>METHODS</w:t>
      </w:r>
    </w:p>
    <w:p w14:paraId="6D6303A7" w14:textId="3917B295" w:rsidR="00A76917" w:rsidRPr="002E1B6F" w:rsidRDefault="00A76917" w:rsidP="00FC6FC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E1B6F">
        <w:rPr>
          <w:rFonts w:cstheme="minorHAnsi"/>
          <w:sz w:val="24"/>
          <w:szCs w:val="24"/>
          <w:lang w:val="en-US"/>
        </w:rPr>
        <w:t>Our study is descriptive and retrospective including 46 patients (26 girls, 20 boys) wit</w:t>
      </w:r>
      <w:r w:rsidR="003B63A5" w:rsidRPr="002E1B6F">
        <w:rPr>
          <w:rFonts w:cstheme="minorHAnsi"/>
          <w:sz w:val="24"/>
          <w:szCs w:val="24"/>
          <w:lang w:val="en-US"/>
        </w:rPr>
        <w:t>h hereditary cerebellar ataxia</w:t>
      </w:r>
      <w:r w:rsidRPr="002E1B6F">
        <w:rPr>
          <w:rFonts w:cstheme="minorHAnsi"/>
          <w:sz w:val="24"/>
          <w:szCs w:val="24"/>
          <w:lang w:val="en-US"/>
        </w:rPr>
        <w:t xml:space="preserve">, followed in the </w:t>
      </w:r>
      <w:r w:rsidR="00FC6FC0" w:rsidRPr="002E1B6F">
        <w:rPr>
          <w:rFonts w:cstheme="minorHAnsi"/>
          <w:sz w:val="24"/>
          <w:szCs w:val="24"/>
          <w:lang w:val="en-US"/>
        </w:rPr>
        <w:t>c</w:t>
      </w:r>
      <w:r w:rsidR="004E250A" w:rsidRPr="002E1B6F">
        <w:rPr>
          <w:rFonts w:cstheme="minorHAnsi"/>
          <w:sz w:val="24"/>
          <w:szCs w:val="24"/>
          <w:lang w:val="en-US"/>
        </w:rPr>
        <w:t>hild</w:t>
      </w:r>
      <w:r w:rsidR="00FC6FC0" w:rsidRPr="002E1B6F">
        <w:rPr>
          <w:rFonts w:cstheme="minorHAnsi"/>
          <w:sz w:val="24"/>
          <w:szCs w:val="24"/>
          <w:lang w:val="en-US"/>
        </w:rPr>
        <w:t xml:space="preserve"> n</w:t>
      </w:r>
      <w:r w:rsidRPr="002E1B6F">
        <w:rPr>
          <w:rFonts w:cstheme="minorHAnsi"/>
          <w:sz w:val="24"/>
          <w:szCs w:val="24"/>
          <w:lang w:val="en-US"/>
        </w:rPr>
        <w:t xml:space="preserve">eurology department of </w:t>
      </w:r>
      <w:proofErr w:type="spellStart"/>
      <w:r w:rsidRPr="002E1B6F">
        <w:rPr>
          <w:rFonts w:cstheme="minorHAnsi"/>
          <w:sz w:val="24"/>
          <w:szCs w:val="24"/>
          <w:lang w:val="en-US"/>
        </w:rPr>
        <w:t>Hédi</w:t>
      </w:r>
      <w:proofErr w:type="spellEnd"/>
      <w:r w:rsidRPr="002E1B6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2E1B6F">
        <w:rPr>
          <w:rFonts w:cstheme="minorHAnsi"/>
          <w:sz w:val="24"/>
          <w:szCs w:val="24"/>
          <w:lang w:val="en-US"/>
        </w:rPr>
        <w:t>Chaker</w:t>
      </w:r>
      <w:proofErr w:type="spellEnd"/>
      <w:r w:rsidR="004E250A" w:rsidRPr="002E1B6F">
        <w:rPr>
          <w:rFonts w:cstheme="minorHAnsi"/>
          <w:sz w:val="24"/>
          <w:szCs w:val="24"/>
          <w:lang w:val="en-US"/>
        </w:rPr>
        <w:t xml:space="preserve"> </w:t>
      </w:r>
      <w:r w:rsidR="00FC6FC0" w:rsidRPr="002E1B6F">
        <w:rPr>
          <w:rFonts w:cstheme="minorHAnsi"/>
          <w:sz w:val="24"/>
          <w:szCs w:val="24"/>
          <w:lang w:val="en-US"/>
        </w:rPr>
        <w:t>h</w:t>
      </w:r>
      <w:r w:rsidR="00FC6FC0" w:rsidRPr="002E1B6F">
        <w:rPr>
          <w:rFonts w:cstheme="minorHAnsi"/>
          <w:sz w:val="24"/>
          <w:szCs w:val="24"/>
          <w:lang w:val="en-US"/>
        </w:rPr>
        <w:t>ospital</w:t>
      </w:r>
      <w:r w:rsidR="004E250A" w:rsidRPr="002E1B6F">
        <w:rPr>
          <w:rFonts w:cstheme="minorHAnsi"/>
          <w:sz w:val="24"/>
          <w:szCs w:val="24"/>
          <w:lang w:val="en-US"/>
        </w:rPr>
        <w:t xml:space="preserve"> </w:t>
      </w:r>
      <w:r w:rsidRPr="002E1B6F">
        <w:rPr>
          <w:rFonts w:cstheme="minorHAnsi"/>
          <w:sz w:val="24"/>
          <w:szCs w:val="24"/>
          <w:lang w:val="en-US"/>
        </w:rPr>
        <w:t>over a p</w:t>
      </w:r>
      <w:r w:rsidR="00FC6FC0" w:rsidRPr="002E1B6F">
        <w:rPr>
          <w:rFonts w:cstheme="minorHAnsi"/>
          <w:sz w:val="24"/>
          <w:szCs w:val="24"/>
          <w:lang w:val="en-US"/>
        </w:rPr>
        <w:t xml:space="preserve">eriod of 11 years (2010 to </w:t>
      </w:r>
      <w:r w:rsidRPr="002E1B6F">
        <w:rPr>
          <w:rFonts w:cstheme="minorHAnsi"/>
          <w:sz w:val="24"/>
          <w:szCs w:val="24"/>
          <w:lang w:val="en-US"/>
        </w:rPr>
        <w:t>2021</w:t>
      </w:r>
      <w:r w:rsidR="00FC6FC0" w:rsidRPr="002E1B6F">
        <w:rPr>
          <w:rFonts w:cstheme="minorHAnsi"/>
          <w:sz w:val="24"/>
          <w:szCs w:val="24"/>
          <w:lang w:val="en-US"/>
        </w:rPr>
        <w:t>)</w:t>
      </w:r>
      <w:r w:rsidRPr="002E1B6F">
        <w:rPr>
          <w:rFonts w:cstheme="minorHAnsi"/>
          <w:sz w:val="24"/>
          <w:szCs w:val="24"/>
          <w:lang w:val="en-US"/>
        </w:rPr>
        <w:t xml:space="preserve">. </w:t>
      </w:r>
      <w:r w:rsidR="00A66463" w:rsidRPr="002E1B6F">
        <w:rPr>
          <w:rFonts w:cstheme="minorHAnsi"/>
          <w:sz w:val="24"/>
          <w:szCs w:val="24"/>
          <w:lang w:val="en-US"/>
        </w:rPr>
        <w:t>All patients underwen</w:t>
      </w:r>
      <w:r w:rsidR="00B45B25" w:rsidRPr="002E1B6F">
        <w:rPr>
          <w:rFonts w:cstheme="minorHAnsi"/>
          <w:sz w:val="24"/>
          <w:szCs w:val="24"/>
          <w:lang w:val="en-US"/>
        </w:rPr>
        <w:t>t clinical examination, cerebral imaging and neurophysiological exams.</w:t>
      </w:r>
    </w:p>
    <w:p w14:paraId="0A8FFC62" w14:textId="77777777" w:rsidR="002A7CE0" w:rsidRPr="002E1B6F" w:rsidRDefault="002A7CE0" w:rsidP="002A7CE0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E1B6F">
        <w:rPr>
          <w:rFonts w:cstheme="minorHAnsi"/>
          <w:b/>
          <w:bCs/>
          <w:sz w:val="24"/>
          <w:szCs w:val="24"/>
          <w:lang w:val="en-US"/>
        </w:rPr>
        <w:t>RESULTS</w:t>
      </w:r>
    </w:p>
    <w:p w14:paraId="7552D959" w14:textId="678554CA" w:rsidR="00486C74" w:rsidRPr="002E1B6F" w:rsidRDefault="0013611D" w:rsidP="00FC6FC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E1B6F">
        <w:rPr>
          <w:rFonts w:cstheme="minorHAnsi"/>
          <w:sz w:val="24"/>
          <w:szCs w:val="24"/>
          <w:lang w:val="en-US"/>
        </w:rPr>
        <w:t>The</w:t>
      </w:r>
      <w:r w:rsidR="00A66463" w:rsidRPr="002E1B6F">
        <w:rPr>
          <w:rFonts w:cstheme="minorHAnsi"/>
          <w:sz w:val="24"/>
          <w:szCs w:val="24"/>
          <w:lang w:val="en-US"/>
        </w:rPr>
        <w:t xml:space="preserve"> main symptom for consultation was a walking disorder in 50.2%, psychomotor retardation in 45.4% and tremor in 4.4%. </w:t>
      </w:r>
      <w:r w:rsidR="002A7CE0" w:rsidRPr="002E1B6F">
        <w:rPr>
          <w:rFonts w:cstheme="minorHAnsi"/>
          <w:sz w:val="24"/>
          <w:szCs w:val="24"/>
          <w:lang w:val="en-US"/>
        </w:rPr>
        <w:t xml:space="preserve">The mean age at onset was 5.5 years. </w:t>
      </w:r>
      <w:r w:rsidR="00A66463" w:rsidRPr="002E1B6F">
        <w:rPr>
          <w:rFonts w:cstheme="minorHAnsi"/>
          <w:sz w:val="24"/>
          <w:szCs w:val="24"/>
          <w:lang w:val="en-US"/>
        </w:rPr>
        <w:t xml:space="preserve">Ataxia was associated to others signs in almost all cases (99.8%). </w:t>
      </w:r>
      <w:r w:rsidR="002A7CE0" w:rsidRPr="002E1B6F">
        <w:rPr>
          <w:rFonts w:cstheme="minorHAnsi"/>
          <w:sz w:val="24"/>
          <w:szCs w:val="24"/>
          <w:lang w:val="en-US"/>
        </w:rPr>
        <w:t xml:space="preserve">The associated signs are oculomotor apraxia in 8.7%, Babinski's sign in 26.1%, abolished </w:t>
      </w:r>
      <w:r w:rsidR="00A66463" w:rsidRPr="002E1B6F">
        <w:rPr>
          <w:rFonts w:cstheme="minorHAnsi"/>
          <w:sz w:val="24"/>
          <w:szCs w:val="24"/>
          <w:lang w:val="en-US"/>
        </w:rPr>
        <w:t xml:space="preserve">reflexes </w:t>
      </w:r>
      <w:r w:rsidR="002A7CE0" w:rsidRPr="002E1B6F">
        <w:rPr>
          <w:rFonts w:cstheme="minorHAnsi"/>
          <w:sz w:val="24"/>
          <w:szCs w:val="24"/>
          <w:lang w:val="en-US"/>
        </w:rPr>
        <w:t xml:space="preserve">in 10.9% of cases. Peripheral neuropathy </w:t>
      </w:r>
      <w:r w:rsidR="00A66463" w:rsidRPr="002E1B6F">
        <w:rPr>
          <w:rFonts w:cstheme="minorHAnsi"/>
          <w:sz w:val="24"/>
          <w:szCs w:val="24"/>
          <w:lang w:val="en-US"/>
        </w:rPr>
        <w:t xml:space="preserve">was </w:t>
      </w:r>
      <w:r w:rsidR="002A7CE0" w:rsidRPr="002E1B6F">
        <w:rPr>
          <w:rFonts w:cstheme="minorHAnsi"/>
          <w:sz w:val="24"/>
          <w:szCs w:val="24"/>
          <w:lang w:val="en-US"/>
        </w:rPr>
        <w:t xml:space="preserve">present in 16.3% of cases. </w:t>
      </w:r>
      <w:r w:rsidR="00FC6FC0" w:rsidRPr="002E1B6F">
        <w:rPr>
          <w:rFonts w:cstheme="minorHAnsi"/>
          <w:sz w:val="24"/>
          <w:szCs w:val="24"/>
          <w:lang w:val="en-US"/>
        </w:rPr>
        <w:t xml:space="preserve">The cerebral MRI </w:t>
      </w:r>
      <w:r w:rsidR="002E1B6F" w:rsidRPr="002E1B6F">
        <w:rPr>
          <w:rFonts w:cstheme="minorHAnsi"/>
          <w:sz w:val="24"/>
          <w:szCs w:val="24"/>
          <w:lang w:val="en-US"/>
        </w:rPr>
        <w:t xml:space="preserve">is </w:t>
      </w:r>
      <w:r w:rsidR="00FC6FC0" w:rsidRPr="002E1B6F">
        <w:rPr>
          <w:rFonts w:cstheme="minorHAnsi"/>
          <w:sz w:val="24"/>
          <w:szCs w:val="24"/>
          <w:lang w:val="en-US"/>
        </w:rPr>
        <w:t>normal in 43.5%</w:t>
      </w:r>
      <w:r w:rsidR="002E1B6F" w:rsidRPr="002E1B6F">
        <w:rPr>
          <w:rFonts w:cstheme="minorHAnsi"/>
          <w:sz w:val="24"/>
          <w:szCs w:val="24"/>
          <w:lang w:val="en-US"/>
        </w:rPr>
        <w:t xml:space="preserve"> and shows </w:t>
      </w:r>
      <w:r w:rsidR="00FC6FC0" w:rsidRPr="002E1B6F">
        <w:rPr>
          <w:rFonts w:cstheme="minorHAnsi"/>
          <w:sz w:val="24"/>
          <w:szCs w:val="24"/>
          <w:lang w:val="en-US"/>
        </w:rPr>
        <w:t>a cerebellar atrophy</w:t>
      </w:r>
      <w:r w:rsidR="00FC6FC0" w:rsidRPr="002E1B6F">
        <w:rPr>
          <w:rFonts w:cstheme="minorHAnsi"/>
          <w:sz w:val="24"/>
          <w:szCs w:val="24"/>
          <w:lang w:val="en-US"/>
        </w:rPr>
        <w:t xml:space="preserve"> in</w:t>
      </w:r>
      <w:r w:rsidR="00B45B25" w:rsidRPr="002E1B6F">
        <w:rPr>
          <w:rFonts w:cstheme="minorHAnsi"/>
          <w:sz w:val="24"/>
          <w:szCs w:val="24"/>
          <w:lang w:val="en-US"/>
        </w:rPr>
        <w:t xml:space="preserve"> </w:t>
      </w:r>
      <w:r w:rsidR="00FC6FC0" w:rsidRPr="002E1B6F">
        <w:rPr>
          <w:rFonts w:cstheme="minorHAnsi"/>
          <w:sz w:val="24"/>
          <w:szCs w:val="24"/>
          <w:lang w:val="en-US"/>
        </w:rPr>
        <w:t>56.5</w:t>
      </w:r>
      <w:r w:rsidR="002E1B6F">
        <w:rPr>
          <w:rFonts w:cstheme="minorHAnsi"/>
          <w:sz w:val="24"/>
          <w:szCs w:val="24"/>
          <w:lang w:val="en-US"/>
        </w:rPr>
        <w:t>%</w:t>
      </w:r>
      <w:r w:rsidR="00FC6FC0" w:rsidRPr="002E1B6F">
        <w:rPr>
          <w:rFonts w:cstheme="minorHAnsi"/>
          <w:sz w:val="24"/>
          <w:szCs w:val="24"/>
          <w:lang w:val="en-US"/>
        </w:rPr>
        <w:t>.</w:t>
      </w:r>
    </w:p>
    <w:p w14:paraId="50D1DF7E" w14:textId="5CF20CE2" w:rsidR="002A7CE0" w:rsidRPr="002E1B6F" w:rsidRDefault="002A7CE0" w:rsidP="002A7CE0">
      <w:pPr>
        <w:spacing w:after="0"/>
        <w:jc w:val="both"/>
        <w:rPr>
          <w:rFonts w:cstheme="minorHAnsi"/>
          <w:strike/>
          <w:sz w:val="24"/>
          <w:szCs w:val="24"/>
          <w:lang w:val="en-US"/>
        </w:rPr>
      </w:pPr>
      <w:r w:rsidRPr="002E1B6F">
        <w:rPr>
          <w:rFonts w:cstheme="minorHAnsi"/>
          <w:sz w:val="24"/>
          <w:szCs w:val="24"/>
          <w:lang w:val="en-US"/>
        </w:rPr>
        <w:t xml:space="preserve">The phenotypic </w:t>
      </w:r>
      <w:r w:rsidR="007179B6" w:rsidRPr="002E1B6F">
        <w:rPr>
          <w:rFonts w:cstheme="minorHAnsi"/>
          <w:sz w:val="24"/>
          <w:szCs w:val="24"/>
          <w:lang w:val="en-US"/>
        </w:rPr>
        <w:t>confirmation</w:t>
      </w:r>
      <w:r w:rsidRPr="002E1B6F">
        <w:rPr>
          <w:rFonts w:cstheme="minorHAnsi"/>
          <w:sz w:val="24"/>
          <w:szCs w:val="24"/>
          <w:lang w:val="en-US"/>
        </w:rPr>
        <w:t xml:space="preserve"> of </w:t>
      </w:r>
      <w:r w:rsidR="007179B6" w:rsidRPr="002E1B6F">
        <w:rPr>
          <w:rFonts w:cstheme="minorHAnsi"/>
          <w:sz w:val="24"/>
          <w:szCs w:val="24"/>
          <w:lang w:val="en-US"/>
        </w:rPr>
        <w:t>a specific etiology was made in 19.1% (</w:t>
      </w:r>
      <w:r w:rsidRPr="002E1B6F">
        <w:rPr>
          <w:rFonts w:cstheme="minorHAnsi"/>
          <w:sz w:val="24"/>
          <w:szCs w:val="24"/>
          <w:lang w:val="en-US"/>
        </w:rPr>
        <w:t xml:space="preserve">ataxia </w:t>
      </w:r>
      <w:r w:rsidR="00A66463" w:rsidRPr="002E1B6F">
        <w:rPr>
          <w:rFonts w:cstheme="minorHAnsi"/>
          <w:sz w:val="24"/>
          <w:szCs w:val="24"/>
          <w:lang w:val="en-US"/>
        </w:rPr>
        <w:t>telangiectasia</w:t>
      </w:r>
      <w:r w:rsidRPr="002E1B6F">
        <w:rPr>
          <w:rFonts w:cstheme="minorHAnsi"/>
          <w:sz w:val="24"/>
          <w:szCs w:val="24"/>
          <w:lang w:val="en-US"/>
        </w:rPr>
        <w:t xml:space="preserve"> in 8.5% of cases, AVED in 6.4%, of </w:t>
      </w:r>
      <w:proofErr w:type="spellStart"/>
      <w:r w:rsidRPr="002E1B6F">
        <w:rPr>
          <w:rFonts w:cstheme="minorHAnsi"/>
          <w:sz w:val="24"/>
          <w:szCs w:val="24"/>
          <w:lang w:val="en-US"/>
        </w:rPr>
        <w:t>friedreich's</w:t>
      </w:r>
      <w:proofErr w:type="spellEnd"/>
      <w:r w:rsidRPr="002E1B6F">
        <w:rPr>
          <w:rFonts w:cstheme="minorHAnsi"/>
          <w:sz w:val="24"/>
          <w:szCs w:val="24"/>
          <w:lang w:val="en-US"/>
        </w:rPr>
        <w:t xml:space="preserve"> ataxia in 4.2%</w:t>
      </w:r>
      <w:r w:rsidR="003B63A5" w:rsidRPr="002E1B6F">
        <w:rPr>
          <w:rFonts w:cstheme="minorHAnsi"/>
          <w:sz w:val="24"/>
          <w:szCs w:val="24"/>
          <w:lang w:val="en-US"/>
        </w:rPr>
        <w:t xml:space="preserve">). </w:t>
      </w:r>
      <w:r w:rsidR="00B45B25" w:rsidRPr="002E1B6F">
        <w:rPr>
          <w:rFonts w:cstheme="minorHAnsi"/>
          <w:sz w:val="24"/>
          <w:szCs w:val="24"/>
          <w:lang w:val="en-US"/>
        </w:rPr>
        <w:t>The unclassified group represent 66%.</w:t>
      </w:r>
    </w:p>
    <w:p w14:paraId="72E0FE51" w14:textId="4B1E6556" w:rsidR="002A7CE0" w:rsidRPr="002E1B6F" w:rsidRDefault="00FC6FC0" w:rsidP="002E1B6F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E1B6F">
        <w:rPr>
          <w:rFonts w:cstheme="minorHAnsi"/>
          <w:sz w:val="24"/>
          <w:szCs w:val="24"/>
          <w:lang w:val="en-US"/>
        </w:rPr>
        <w:t>A</w:t>
      </w:r>
      <w:r w:rsidR="002A7CE0" w:rsidRPr="002E1B6F">
        <w:rPr>
          <w:rFonts w:cstheme="minorHAnsi"/>
          <w:sz w:val="24"/>
          <w:szCs w:val="24"/>
          <w:lang w:val="en-US"/>
        </w:rPr>
        <w:t>n unfavorable evolution was found in 36.74% of patients and were significantly correlated with intellectual disability (p=0.021) found in 57.40% and spasticity (p=0.036) found in 29.8% of cases.</w:t>
      </w:r>
      <w:r w:rsidR="002E1B6F" w:rsidRPr="002E1B6F">
        <w:rPr>
          <w:rFonts w:cstheme="minorHAnsi"/>
          <w:sz w:val="24"/>
          <w:szCs w:val="24"/>
          <w:lang w:val="en-US"/>
        </w:rPr>
        <w:t xml:space="preserve"> I</w:t>
      </w:r>
      <w:r w:rsidR="002A7CE0" w:rsidRPr="002E1B6F">
        <w:rPr>
          <w:rFonts w:cstheme="minorHAnsi"/>
          <w:sz w:val="24"/>
          <w:szCs w:val="24"/>
          <w:lang w:val="en-US"/>
        </w:rPr>
        <w:t>ndependent walking was only acquired in 53.85% of patients. The abnorma</w:t>
      </w:r>
      <w:r w:rsidR="002E1B6F" w:rsidRPr="002E1B6F">
        <w:rPr>
          <w:rFonts w:cstheme="minorHAnsi"/>
          <w:sz w:val="24"/>
          <w:szCs w:val="24"/>
          <w:lang w:val="en-US"/>
        </w:rPr>
        <w:t>lities found in 46.15% of cases.</w:t>
      </w:r>
    </w:p>
    <w:p w14:paraId="3C895CD1" w14:textId="77777777" w:rsidR="002A7CE0" w:rsidRPr="002E1B6F" w:rsidRDefault="00AF5F64" w:rsidP="002A7CE0">
      <w:pPr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  <w:r w:rsidRPr="002E1B6F">
        <w:rPr>
          <w:rFonts w:cstheme="minorHAnsi"/>
          <w:b/>
          <w:bCs/>
          <w:sz w:val="24"/>
          <w:szCs w:val="24"/>
          <w:lang w:val="en-US"/>
        </w:rPr>
        <w:t>CONCLU</w:t>
      </w:r>
      <w:r w:rsidR="002A7CE0" w:rsidRPr="002E1B6F">
        <w:rPr>
          <w:rFonts w:cstheme="minorHAnsi"/>
          <w:b/>
          <w:bCs/>
          <w:sz w:val="24"/>
          <w:szCs w:val="24"/>
          <w:lang w:val="en-US"/>
        </w:rPr>
        <w:t>SION</w:t>
      </w:r>
    </w:p>
    <w:p w14:paraId="7CBA8D45" w14:textId="462D42CC" w:rsidR="002A7CE0" w:rsidRPr="002E1B6F" w:rsidRDefault="0004081C" w:rsidP="002A7CE0">
      <w:pPr>
        <w:spacing w:after="0"/>
        <w:jc w:val="both"/>
        <w:rPr>
          <w:rFonts w:cstheme="minorHAnsi"/>
          <w:sz w:val="24"/>
          <w:szCs w:val="24"/>
          <w:lang w:val="en-US"/>
        </w:rPr>
      </w:pPr>
      <w:r w:rsidRPr="002E1B6F">
        <w:rPr>
          <w:rFonts w:cstheme="minorHAnsi"/>
          <w:sz w:val="24"/>
          <w:szCs w:val="24"/>
          <w:lang w:val="en-US"/>
        </w:rPr>
        <w:t>In childhood cohort, ataxia was frequently associated to other neurological or extra-neurological symptoms. Classical etiologies such as Friedreich's ataxia, ataxia telangiectasia and AVED are rare.</w:t>
      </w:r>
    </w:p>
    <w:p w14:paraId="1BCA9DFC" w14:textId="77777777" w:rsidR="002A7CE0" w:rsidRPr="004E250A" w:rsidRDefault="002A7CE0" w:rsidP="002A7CE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p w14:paraId="7ED11DD5" w14:textId="7F4CBE23" w:rsidR="002A7CE0" w:rsidRPr="004E250A" w:rsidRDefault="002A7CE0" w:rsidP="002A7CE0">
      <w:pPr>
        <w:spacing w:after="0"/>
        <w:jc w:val="both"/>
        <w:rPr>
          <w:rFonts w:cstheme="minorHAnsi"/>
          <w:sz w:val="24"/>
          <w:szCs w:val="24"/>
          <w:lang w:val="en-US"/>
        </w:rPr>
      </w:pPr>
    </w:p>
    <w:sectPr w:rsidR="002A7CE0" w:rsidRPr="004E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53"/>
    <w:rsid w:val="0004081C"/>
    <w:rsid w:val="0013611D"/>
    <w:rsid w:val="00171E05"/>
    <w:rsid w:val="001E195B"/>
    <w:rsid w:val="00224238"/>
    <w:rsid w:val="002A7CE0"/>
    <w:rsid w:val="002C4927"/>
    <w:rsid w:val="002E1B6F"/>
    <w:rsid w:val="0033094A"/>
    <w:rsid w:val="00340F53"/>
    <w:rsid w:val="003B63A5"/>
    <w:rsid w:val="00486C74"/>
    <w:rsid w:val="004E250A"/>
    <w:rsid w:val="007179B6"/>
    <w:rsid w:val="00786477"/>
    <w:rsid w:val="00A66463"/>
    <w:rsid w:val="00A76917"/>
    <w:rsid w:val="00AF5F64"/>
    <w:rsid w:val="00B45B25"/>
    <w:rsid w:val="00C36B8C"/>
    <w:rsid w:val="00C47FFA"/>
    <w:rsid w:val="00D3463C"/>
    <w:rsid w:val="00EA452C"/>
    <w:rsid w:val="00F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110F"/>
  <w15:chartTrackingRefBased/>
  <w15:docId w15:val="{9171A6CC-321F-44A6-A482-81BD5706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A4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452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EA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13</cp:revision>
  <dcterms:created xsi:type="dcterms:W3CDTF">2022-04-01T08:28:00Z</dcterms:created>
  <dcterms:modified xsi:type="dcterms:W3CDTF">2022-04-01T09:30:00Z</dcterms:modified>
</cp:coreProperties>
</file>